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91" w:rsidRPr="00B351B7" w:rsidRDefault="00B37F91" w:rsidP="00B37F91">
      <w:pPr>
        <w:pStyle w:val="a3"/>
        <w:spacing w:after="0"/>
        <w:ind w:left="0" w:firstLine="709"/>
        <w:contextualSpacing w:val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351B7">
        <w:rPr>
          <w:rStyle w:val="a4"/>
          <w:rFonts w:ascii="Times New Roman" w:hAnsi="Times New Roman" w:cs="Times New Roman"/>
          <w:sz w:val="28"/>
          <w:szCs w:val="28"/>
        </w:rPr>
        <w:t>Выступление</w:t>
      </w:r>
    </w:p>
    <w:p w:rsidR="00B37F91" w:rsidRPr="00B351B7" w:rsidRDefault="00B37F91" w:rsidP="00B37F91">
      <w:pPr>
        <w:pStyle w:val="a3"/>
        <w:spacing w:after="0"/>
        <w:ind w:left="0" w:firstLine="709"/>
        <w:contextualSpacing w:val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351B7">
        <w:rPr>
          <w:rStyle w:val="a4"/>
          <w:rFonts w:ascii="Times New Roman" w:hAnsi="Times New Roman" w:cs="Times New Roman"/>
          <w:sz w:val="28"/>
          <w:szCs w:val="28"/>
        </w:rPr>
        <w:t>заместителя Руководителя Управления Россельхознадзора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51B7">
        <w:rPr>
          <w:rStyle w:val="a4"/>
          <w:rFonts w:ascii="Times New Roman" w:hAnsi="Times New Roman" w:cs="Times New Roman"/>
          <w:sz w:val="28"/>
          <w:szCs w:val="28"/>
        </w:rPr>
        <w:t xml:space="preserve">по Брянской и Смоленской областям </w:t>
      </w:r>
      <w:proofErr w:type="spellStart"/>
      <w:r w:rsidRPr="00B351B7">
        <w:rPr>
          <w:rStyle w:val="a4"/>
          <w:rFonts w:ascii="Times New Roman" w:hAnsi="Times New Roman" w:cs="Times New Roman"/>
          <w:sz w:val="28"/>
          <w:szCs w:val="28"/>
        </w:rPr>
        <w:t>М.И.Божина</w:t>
      </w:r>
      <w:proofErr w:type="spellEnd"/>
      <w:r w:rsidRPr="00B351B7">
        <w:rPr>
          <w:rStyle w:val="a4"/>
          <w:rFonts w:ascii="Times New Roman" w:hAnsi="Times New Roman" w:cs="Times New Roman"/>
          <w:sz w:val="28"/>
          <w:szCs w:val="28"/>
        </w:rPr>
        <w:t xml:space="preserve"> на публичных слушаниях о правоприменительной практике, сложившейся в 2017 году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14 февраля 2018 года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Работа Управления в сфере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земельного контроля осуществляется в соответствии с установленными правилами и нормами, направленными на снижение неоправданного административного давления на хозяйствующие субъекты и повышение результативности проводимых контрольно-надзорных мероприятий.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ри этом выделены несколько приоритетных направлений: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7F91" w:rsidRPr="00B37F91" w:rsidRDefault="00B37F91" w:rsidP="00B37F91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вовлечение неиспользуемых земель в сельскохозяйственный оборот;</w:t>
      </w:r>
    </w:p>
    <w:p w:rsidR="00B37F91" w:rsidRPr="00B37F91" w:rsidRDefault="00B37F91" w:rsidP="00B37F91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соблюдением правил рационального использования земель;</w:t>
      </w:r>
    </w:p>
    <w:p w:rsidR="00B37F91" w:rsidRPr="00B37F91" w:rsidRDefault="00B37F91" w:rsidP="00B37F91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предотвращение и пресечение фактов порчи и уничтожения плодородного слоя.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Реализация приоритетов осуществлялась одновременно с проведением комплекса профилактических мероприятий развернутых среди землепользователей и других хозяйствующих субъектов, деятельность которых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вызывает или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может вызвать определенные риски для охраняемых законом ценностей. В данном случае, для земель сельскохозяйственного назначения.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этой целью нами использовались возможности общедоступного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интернет-ресурса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, телевидения и других средств массовой информации. Результаты работы земельного надзора регулярно освещаются на сайте Управления в виде аналитической записки и подробных статистических данных, охватывающих все направления деятельности. Стали традиционными, ежеквартальные публичные слушания сложившейся правоприменительной практики, которые проходят сегодня по итогам работы в 2017 году.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ступившие в силу в прошлом году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изменения в порядок проведения плановых проверок земельного надзора предусматривают подготовку и обнародование, так называемого, проверочного листа. По своей сути он является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перечнем контрольных вопросов, затрагивающих предъявляемые к проверяемому лицу обязательные требования, соблюдение которых является наиболее значимым,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точки </w:t>
      </w: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зрения недопущения угрозы причинения вреда</w:t>
      </w:r>
      <w:proofErr w:type="gram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землям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сельхозназначения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 этом предмет проверки не может выходить за рамки данного перечня вопросов. Проверочный лист размещен на официальном сайте Управления. Для проверяемого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лица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это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дает реальную возможность заблаговременно ознакомиться с вопросами, которые будут проверены, выработать и реализовать конкретные шаги подготовительного характера и встретить проверку, что называется, «во всеоружии». В ходе контроля инспектор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ведет дальнейшее заполнение проверочного листа, вместе с актом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проверки указывая при этом 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соблюдение или несоблюдение обязательных требований.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Таким образом, врученный проверяемому лицу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вместе с актом проверочный лист становится методическим пособием по нормативно-правовому регулированию вопросов в сфере земельных отношений.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Руководствуясь действующими положениями 294-го федерального закона об ограничениях проверок предприятий малого бизнеса, на 2017 год по двум субъектам были запланированы всего 304 плановых проверки.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Это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меньше по сравнению с 2016 годом на 144,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 по сравнению с 2015 на 150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проверок. Данная тенденция также сохранилась при подготовке плана на будущий год. 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2018 году будет проведено немногим более 200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плановых проверок по соблюдению земельного законодательства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обоих регионах ответственности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Управления.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Принципиально новым положением является то, что все проверяемые объекты включаются в </w:t>
      </w: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план</w:t>
      </w:r>
      <w:proofErr w:type="gram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исключительно исходя из оценки категории риска конкретного земельного участка.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Соответствующие критерии, по которым оценивается уровень риска, также утверждены Правительством Российской Федерации.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Они приведены на данном слайде.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Главное, что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следует понимать хозяйствующим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субъектам,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земельные участки отнесенные, при соблюдении соответствующих условий, к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категории низкого риска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проверкам не подлежат. К этому следует стремиться каждому землепользователю.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Брянской области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2017 году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всего проведено 187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плановых</w:t>
      </w:r>
      <w:proofErr w:type="gram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384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неплановых контрольных мероприятия.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 этом обследовано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около 400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тысяч гектаров сельскохозяйственных земель.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Нарушения выявлены на площади около 8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тысяч гектаров.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 ним возбуждено 412 административных дел по различным статьям Кодекса об административных правонарушениях Российской Федерации. В результате их рассмотрения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 виновных лиц наложено административных штрафов на общую сумму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2,8 млн. рублей,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которые практически в полном объеме поступили 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бюджет Брянского района по месту регистрации контрольного органа.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Сумма штрафов наложенных в 2017 году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практически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два раза меньше, чем 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предыдущем.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Однако это не означает, что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нарушения в земельной сфере стали носить менее тяжкий характер, а значит,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 ним применялись менее жесткие штрафные санкции. Скорее здесь имеют место две другие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причины.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Первая из них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это снижение числа привлеченных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нарушителей юридических лиц и индивидуальных предпринимателей, в отношении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которых законом предусмотрены более высокие штрафные санкции.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Поскольку их стало значительно меньше в плане работы,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соответственно уменьшилось и количество проводимых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ним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проверок.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Как видно из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приведенного слайда, основную долю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плане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(75%)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составляют проверки физических лиц.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Законодательно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установленные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меры ответственности за допущенные нарушения по ним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значительно ниже, чем у юридических лиц.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Отсюда и уменьшение общей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суммы наложенных штрафов.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А вторая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широкое применение положений статьи 4.1.1 Кодекса об административных правонарушениях Российской Федерации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 замене административного штрафа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предупреждение.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Положения данной статьи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предусматривают, что юридическим лицам и хозяйствующим субъектам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без образования юридического лица, впервые совершившим административное правонарушение, наказание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виде административного штрафа, при наличии соответствующих обстоятельств, подлежит замене на предупреждение.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прошлом году данная статья в отношении нарушителей земельного законодательства,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применялась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16-ти случаях.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Правоприменительная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практика прошлого года показывает, что в структуре выявленных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нарушений преобладают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факты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неиспользования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земель для ведения сельскохозяйственного производства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или иной связанной с сельскохозяйственным производством деятельности. Они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составляют долю - 35%.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Ответственность за данное нарушение предусмотрена частью 2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статьи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8.8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КоАП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РФ.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Всего в прошедшем году по данной статье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возбуждено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143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административных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дела, по которым к ответственности привлечено столько же виновных лиц.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Общая сумма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наложенных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штрафов составила 480 тыс.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рублей.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точки зрения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данной статьи,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следует отметить, что размер предусмотренных в ней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штрафных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санкций, напрямую зависит от кадастровой стоимости земельного участка, на котором выявлено нарушение. При его назначении должностное лицо,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выносящее решение по делу,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руководствуется установленными санкциями отдельно для граждан,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должностных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 юридических лиц.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зависимости от категории виновного лица они находятся в пределах от 0,3 до 10 % кадастровой стоимости земельного участка.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Таким образом, смысл построения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данной статьи основан на прерогативе ценных и особо ценных в сельскохозяйственном отношении земель.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Второе место </w:t>
      </w: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27%)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структуре нарушений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занимает неисполнение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выданных земельным надзором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предписаний.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Ответственность за него предусмотрена статьей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19.5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КоАП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РФ.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 данной статье к ответственности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привлечено 112 виновных лица.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силу того, что данная статья относится к юрисдикции суда, </w:t>
      </w: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принятых судебных решений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 нарушителей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наложено штрафов 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общей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сумме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около 1 млн. рублей.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Эти данные, по нашему мнению,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заслуживают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отдельного обсуждения, поскольку они являются объективным отображением той ситуации, которая складывается в системе государственно-коммерческого партнерства, призванного совместными усилиями защитить охраняемые законом ценности 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 которой собственно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основана концепция реформирования к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нтрольно-надзорной деятельности.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Реализуемые в последние годы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инициативы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 снижению административного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давления 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производителей,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том числе те, 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которых говорилось выше, применяемые на практике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случаи продления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сроков исполнения ранее выданных предписаний, другие меры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либерального характера,</w:t>
      </w:r>
      <w:r w:rsidR="008873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свидетельствуют о стремлении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создания наиболее благоприятных условий для развития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бизнеса.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Современные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проверки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сфере земельных отношений не следует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расценивать как попытку инспектора «заработать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очередную палку»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для отчета, то есть внезапно подловить добросовестного землепользователя на незначительном нарушении и обязательно его наказать.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Скорее их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следует воспринимать как совместные действия контрольного органа и хозяйствующего субъекта по защите земель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 негативных воздействий природного или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техногенного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характера, выработке совместных мер по приведению конкретного земельного участка в состояние пригодное для сельскохозяйственного производства.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Вся совместная работа в этом направлении должна быть основана на взаимной заинтересованности и взаимной ответственности.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Тогда вполне логично считать, что такое явление, как неисполнение землепользователем законного предписания надзорного органа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 введению земель в оборот, должно обеими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сторонами расцениваться как чрезвычайный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факт.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 что же мы имеем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практике?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Давайте посмотрим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статистику прошлого года.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Из 273-х предписаний выданных земельным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надзором,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срок исполнения которых истек в 2017 году, оказались не исполненными- 112.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То есть почти половина. Среди них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имели место предписания по ликвидации на участках сорной и древесно-кустарниковой растительности или несанкционированных свалок, рекультивации нарушенных земель и другие.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Согласитесь, данные факты не убеждают в том, что существует равная взаимная заинтересованность государства и бизнеса в вовлечении неиспользуемых земель в сельскохозяйственный оборот.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Уровень гражданской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 социальной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ответственности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бизнеса за результаты своей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данной сфере не всегда придает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уверенность в надежности государственно-коммерческого партнерства,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принципах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которого собственно и построена концепция реформы контрольно-надзорной деятельности.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К сожалению,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об этом также свидетельствует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обстоятельство, что нарушения, связанные с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невыполнением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обязательных мероприятий по защите земель и охране почв,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вместе с нарушениями, связанными с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порчей земель в структуре правонарушений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2017 года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составляют долю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равную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28%.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Одновременно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введением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ограничений по количеству проводимых проверок малого бизнеса, другими законодательными мерами, направленными на существенное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снижение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административного давления на предприятия АПК, законодателем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предусмотрены серьезные меры ответственности за нарушения требований по охране и защите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земель.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Кроме того, земли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недобросовестных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владельцев, которые не используются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 назначению, или используются способами, влекущими за собой существенное снижение плодородия, при определенных законом условиях, в судебном порядке изымаются и реализуются с торгов добросовестным землевладельцам.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Уже в январе текущего года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решением Демидовского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районного суда Смоленской области у собственника изъяты два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земельных участка общей площадью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58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гектаров.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87345">
        <w:rPr>
          <w:rStyle w:val="a4"/>
          <w:rFonts w:ascii="Times New Roman" w:hAnsi="Times New Roman" w:cs="Times New Roman"/>
          <w:i/>
          <w:sz w:val="28"/>
          <w:szCs w:val="28"/>
        </w:rPr>
        <w:t>Для сведения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 четыре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последних года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Брянской и Смоленской областях у недобросовестных собственников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изъято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26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участков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из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земель сельскохозяйственного назначения,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общей площадью 828,7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гектаров. </w:t>
      </w:r>
      <w:proofErr w:type="gramEnd"/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Более года в данном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направлении деятельности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действуют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новые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законодательные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нормы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 правила.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 момента вступления в силу 3 июля 2016 года изменений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законодательство,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работа по изъятию неиспользуемых земель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затормозилась.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Процедура стала более сложной, труднореализуемой на практике.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Новые правовые нормы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 устранили старые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законодательные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возможности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уклонения нарушителей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 наказания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форме изъятия земель.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Тем не менее, мы продолжаем вести эту работу в сложившихся правовых условиях.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результате применения к нарушителям административных мер воздействия,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исполнения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законопослушными хозяйствующими субъектами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предписаний,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Брянской области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возвращено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оборот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более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4 тыс. гектаров земель.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Анализ введенных земель в разрезе районов,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представлен на данном слайде.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Действенным экономическим рычагом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 недобросовестных землевладельцев,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которые длительное время не используют свои земли для производства сельхозпродукции,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является применение повышенной ставки земельного налога.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 этом она увеличивается 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 раз – с 0,3 до 1,5% от кадастровой стоимости.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 период работы земельного надзора сумма дополнительно начисленного земельного налога по материалам, направленным Управлением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налоговые органы составила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млн.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рублей.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Только по материалам, направленным в прошлом году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эта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сумма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составила более 1 млн. рублей, которые поступили в консолидированный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бюджет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региона.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Применение данных мер во многих случаях способствует принципиальному пересмотру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правообладателями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своих подходов к земле. При этом они находят возможность ввести ее в оборот или передать другому владельцу.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прошлом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году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имели место случаи добровольного отказа граждан от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необрабатываемых участков в пользу муниципалитетов,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других физических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или юридических лиц. Всего состоялось 57 подобных случаев в отношении земельных участков общей площадью 715 ,5 гектаров.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Выявление и предотвращение фактов самовольного снятия, перемещения и уничтожения плодородного слоя почвы указывают 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достаточно широкое распространение подобных нарушений.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 ним, как правило,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приводят незаконные разработки карьеров по добыче общераспространенных полезных ископаемых, внутрихозяйственные земляные работы,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строительство и реконструкция линейных объектов.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течение прошлого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года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выявлено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подобных случаев,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где были нарушены земли на площади около 5 гектаров.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Ущерб, причиненный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нарушениями,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составил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16,7 млн. рублей.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сегодняшнему дню судами </w:t>
      </w: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поддержаны</w:t>
      </w:r>
      <w:proofErr w:type="gram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исков,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заявленных Управлением о возмещении вреда,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 общую сумму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3,9 млн. рублей.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Виновные лица обязаны разработать соответствующие проекты и провести рекультивацию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нарушенных участков.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Как складываются обстоятельства, способствующие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совершению данных нарушений?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Как правило, собственники земельных участков прикрывают свои незаконные действия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тем, что в федеральном законодательстве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нет прямого запрета на проведение внутрихозяйственных работ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землях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сельхозназначения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, в том числе и по добыче общераспространенных полезных ископаемых.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Однако следует понимать, что законодатель предусмотрел это на случай,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когда сельхозпроизводителю необходим,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например,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песок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для ведения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собственного строительства.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Скажем, животноводческих помещений, внутрихозяйственных дорог или чего-то другого.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этом случае, он получает от уполномоченного органа местного самоуправления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необходимое разрешение на проведение работ, связанных с нарушением почвенного покрова и самостоятельно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обеспечивает себя песком.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После завершения добычи, также самостоятельно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рекультивирует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нарушенный участок и приводит его в состояние, пригодное для ведения сельхозпроизводства.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Первый шаг в направлении урегулирования вопросов, связанных с предоставлением участков недр и использования земельных участков для добычи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общераспространенных полезных ископаемых для собственных нужд, в Брянской области уже сделан.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Правительством региона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27 марта 2017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года принято соответствующее Постановление. В соответствии с ним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каждый сельхозпроизводитель, обладающий землей,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имеет возможность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 вполне законных основаниях получить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разрешение на вскрытие почвенного покрова и добычу песка на своем участке, который ему необходим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для собственных нужд.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Остается только определить уполномоченные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выдачу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связанных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 нарушением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почвы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муниципальные органы власти и взять под контроль строгое исполнение всех требований утвержденного Порядка.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на практике пока происходит следующее.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Предприимчивые дельцы, не имеющие ни какого отношения к сельскому хозяйству, на вполне законных основаниях завладели и продолжают завладевать землями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сельхозназначения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для того, чтобы их возделывать.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Их целью является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промышленная добыча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 реализация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общераспространенных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полезных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ископаемых.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 им все равно,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 каких землях это происходит.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Встречаются случаи, когда получив в департаменте природных ресурсов лицензию лишь на проведение геологической разведки, предприниматели начинают вести полноценную промышленную разработку карьеров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 землях, предназначенных для посевов или пастбищ,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 имея при этом проекта рекультивации нарушенного участка и без перевода его в категорию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- земли промышленности.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Чтобы окончательно исключить посягательства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земли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сельхозназначения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, региону следует предпринять следующий шаг законодательного регулирования данной проблемы.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Необходимо воспользоваться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положениями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закона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«О недрах», который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позволяет органам исполнительной власти субъекта самостоятельно определять условия пользования участками недр местного значения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 пересмотреть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практику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выдачи уполномоченным региональным органом власти лицензий на добычу полезных ископаемых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до того, пока заявитель не перевел землю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иную категорию и не изготовил необходимый проект рекультивации нарушенного участка.</w:t>
      </w:r>
      <w:proofErr w:type="gramEnd"/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По-прежнему в сфере землепользования не изжиты такие нарушения как захламление земель различными отходами. Недостаточная коммунальная инфраструктура, организация работ по сбору и вывозу мусора на уровне поселенческих муниципальных образований, а также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зачастую,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низкий уровень культуры населения, приводят к многочисленным случаям порождения несанкционированных свалок, которые наносят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невосполнимый ущерб сельскохозяйственным землям.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За прошлый год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земельным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надзором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Брянской области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выявлено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48 свалок, размещенных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26 гектарах земель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сельхозназначения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Причиненный свалками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ущерб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почве составил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почти 140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млн. рублей.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Из них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36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свалок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течение года были ликвидированы.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результате предпринятых земельным надзором понудительных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мер, нарушители и виновные лица провели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необходимые мероприятия по уборке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 рекультивации мест захламления.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 остальным случаям работа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продолжается.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данном направлении контроля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мы рассчитываем на поддержку со стороны муниципальных органов власти 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одинаковое вместе с ними понимание проблем по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защите земель.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ходе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аналогичного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мероприятия, состоявшегося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ноябре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прошлого года,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приводил пример о несанкционированной свалке строительных и бытовых отходов, размещенной на землях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сельхозназначения</w:t>
      </w:r>
      <w:proofErr w:type="spellEnd"/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Новодарковичского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Брянского района, которая длительное время остается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ликвидированной, не смотря на предпринятые меры надзорного реагирования.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 горячим, что называется,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следам Управление направило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администрацию муниципалитета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соответствующее представление, в котором предложило администрации района со своей стороны предпринять конкретные шаги по устранению свалки.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 вот спустя полтора месяца получен ответ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заместителя главы администрации по строительству и жилищно-коммунальному хозяйству, из которого следует, что данный вопрос не относится к полномочиям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Брянского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района.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 всей изысканности приведенных в данном письме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аргументов в пользу такого ответа, трудно согласиться с правильностью занятой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районными властями позиции.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Тем более</w:t>
      </w: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что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 последние два года Управлением проделана большая работа по развитию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муниципального земельного контроля.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частности проведены многочисленные семинары и практические занятия с должностными лицами, которые наделены данными полномочиями, разработаны и направлены для использования в работе наборы формализованных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 и рекомендации по его организации.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Однако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пока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считать результативной реализацию муниципалитетами данных полномочий,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серьезных оснований не имеется. Не все здорово обстоит с вопросами планирования,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выявлением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 закреплением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нарушений, подготовкой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качественных материалов контроля.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Так, в 2017 году из 17-ти представленных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сельскими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поселениями планов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земельного контроля, согласованы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только два. Остальные не содержали проверок в отношении земель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сельхозназначения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Абсолютное большинство поселений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планы на согласование не представляли.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В течение года в Управление из муниципалитетов поступило 26 материалов проверок.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Только один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из них, поступивший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Дятьковского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был реализован. Остальные, в связи с невозможностью реализации,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направлены обратно на доработку.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 сегодняшнему дню в организации МЗК в Брянской области сложилась следующая ситуация.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 1 января текущего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года,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хотя и с серьезным запозданием, решен принципиальный вопрос о законодательной передаче полномочий по его осуществлению с поселенческого уровня на уровень района.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Мы приветствуем данное решение, поскольку на его необходимости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настаивали неоднократно. Казалось бы, что желаемый результат достигнут, и все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встало на свои места.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Однако с принятием данных изменений,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наступил некоторый вакуум в реализации полномочий по контролю. Во-первых,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те два согласованных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плана проверок, поступивших от сельских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 которых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было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упомянуто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выше, потеряли свою юридическую силу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и, следовательно,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реализованы быть не могут. 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Во-вторых, ни один муниципальный район не готовился к получению данных полномочий, и, поэтому, не имеет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плана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проверок земельного законодательства на текущий 2018 год.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Следовательно, они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сегодня не имеют возможности осуществлять плановые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проверки.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Лишь своевременно подготовив и согласовав в установленном порядке в текущем году планы МЗК,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проведение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проверок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станет возможным только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2019 году.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этого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времени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все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попытки осуществления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муниципалитетами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контроля в сфере земельных отношений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будут находиться вне правового поля. </w:t>
      </w:r>
    </w:p>
    <w:p w:rsid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Появившаяся, казалось бы, ниоткуда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проблема для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муниципальных органов власти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имеет определенные пути решения.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Однако</w:t>
      </w: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чтобы их отыскать и реализовать на практике, проблемой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необходимо заниматься вдумчиво и профессионально. </w:t>
      </w:r>
    </w:p>
    <w:p w:rsidR="00B37F91" w:rsidRDefault="00B37F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B37F91" w:rsidRPr="00887345" w:rsidRDefault="00B37F91" w:rsidP="00B37F91">
      <w:pPr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87345">
        <w:rPr>
          <w:rStyle w:val="a4"/>
          <w:rFonts w:ascii="Times New Roman" w:hAnsi="Times New Roman" w:cs="Times New Roman"/>
          <w:sz w:val="28"/>
          <w:szCs w:val="28"/>
        </w:rPr>
        <w:lastRenderedPageBreak/>
        <w:t>Экспорт продукции растительного происхождения:</w:t>
      </w:r>
    </w:p>
    <w:p w:rsidR="00B37F91" w:rsidRPr="00887345" w:rsidRDefault="00B37F91" w:rsidP="00B37F91">
      <w:pPr>
        <w:pStyle w:val="a3"/>
        <w:spacing w:after="0"/>
        <w:ind w:left="0" w:firstLine="709"/>
        <w:contextualSpacing w:val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87345">
        <w:rPr>
          <w:rStyle w:val="a4"/>
          <w:rFonts w:ascii="Times New Roman" w:hAnsi="Times New Roman" w:cs="Times New Roman"/>
          <w:sz w:val="28"/>
          <w:szCs w:val="28"/>
        </w:rPr>
        <w:t>проблемы, пути</w:t>
      </w:r>
      <w:r w:rsidR="00B351B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87345">
        <w:rPr>
          <w:rStyle w:val="a4"/>
          <w:rFonts w:ascii="Times New Roman" w:hAnsi="Times New Roman" w:cs="Times New Roman"/>
          <w:sz w:val="28"/>
          <w:szCs w:val="28"/>
        </w:rPr>
        <w:t>решения.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Вопросы рационального использования земель, защита плодородного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слоя почвы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является одним из определяющих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факторов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дальнейшего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АПК.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Зерновой рынок Брянской области меняется 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наших глазах.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Он постепенно приобретает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черты крупного современного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производства, с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экспортно-ориентированнным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вектором развития.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 сегодняшнему дню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валовой сбор зерна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урожая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2017 года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составил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млн. 850 тыс. тонн.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Это лучший показатель из всей нечерноземной зоны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Центрального Федерального округа.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 этом изменился не только валовой сбор, вместе с ним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выросла,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урожайность, качественные показатели продукции.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Заложенные основы роста в сельскохозяйственную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отрасль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путем реализации приоритетного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национального проекта «Развитие АПК» позволяют выстраивать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прогнозы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перспективе к 2020 году получить на брянских полях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3 млн. тонн зерна.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Осенью прошлого года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Управлением совместно со специалистами Департамента сельского хозяйства проводился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мониторинг качества полученного зерна.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 основным видам зерновых и зернобобовых культур проведен исследовательский срез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 30 до 40 процентов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намолоченного объема.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Из приведенных данных видно, что озимая и яровая пшеница в основном соответствует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3-му и 4-му классу, озимый и яровой ячмень в основном соответствует 1-му классу, рожь -1-му и 2-му классам.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 достижениям зернового производства следует также отнести факт выращивания рапса, поставляемого на пищевые цели для выработки рапсового масла.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Приведенные качественные характеристики исследованного зерна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свидетельствуют о том, что оно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может быть использовано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выпечки высококачественных хлебобулочных изделий, без применения хлебопекарных добавок и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улучшителей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, а также для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выработки крупы и пивоваренного солода.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Зерновой рынок Брянской области постепенно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приобретает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экспортный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вектор развития, который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дополнительно сулит рост товарного оборота и улучшение экономических показателей региона. 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прошлом году объем экспорта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всех видов зерна и продуктов переработки составил более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144 тыс. тонн.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текущем году отгрузка брянского зерна на экспорт продолжается.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Рост производства и развивающиеся тенденции закрепления брянского зерна на международном рынке являются серьезным аргументом в пользу того, что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агропромышленный комплекс региона находится на подъеме,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главной задачей всех нас и каждого на своем месте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является всесторонняя поддержка этого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процесса. 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 своей стороны, как надзорный орган в сфере оборота зерна и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зернопродуктов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, мы видим определенные проблемы, которые необходимо устранять совместными усилиями бизнеса и органов власти различных уровней.</w:t>
      </w:r>
    </w:p>
    <w:p w:rsidR="00B37F91" w:rsidRPr="00B37F91" w:rsidRDefault="00B37F91" w:rsidP="00B37F91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сфере контроля качества и безопасности зерна и продуктов его переработки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прошлом году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проведено 78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плановых и неплановых мероприятий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Их количество, по сравнению с аналогичным периодом прошлого года сократилось в 2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раза.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Но,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тем не менее,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выявляемость</w:t>
      </w:r>
      <w:proofErr w:type="spell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нарушений сохранилась на достаточно высоком уровне. Так, если в прошлом году нарушения выявлялись только 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каждой второй проведенной проверке, то в текущем году, нарушения выявлены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во всех 100% проведенных проверок.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Это лишний раз подтверждает целесообразность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применения подхода к организации контроля с учетом имеющихся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рисков.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Хозяйствующие субъекты, соблюдающие все законные требования,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обеспечивающие безопасность и качество производимой продукции от проверок освобождаются. 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Основными видами нарушений в сфере контроля зерна и продуктов его переработки явились: </w:t>
      </w:r>
    </w:p>
    <w:p w:rsidR="00B37F91" w:rsidRPr="00B37F91" w:rsidRDefault="00B37F91" w:rsidP="00B37F91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недостоверное декларирование;</w:t>
      </w:r>
    </w:p>
    <w:p w:rsidR="00B37F91" w:rsidRPr="00B37F91" w:rsidRDefault="00B37F91" w:rsidP="00B37F91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отсутствие или недостоверная информация о зерне, крупах в товарно-транспортных накладных;</w:t>
      </w:r>
    </w:p>
    <w:p w:rsidR="00B37F91" w:rsidRPr="00B37F91" w:rsidRDefault="00B37F91" w:rsidP="00B37F91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реализация зерна без декларации соответствия.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Зерновой контроль ставит своей целью проверку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требований Технического регламента Таможенного союза «О безопасности зерна». Техническое регулирование, как известно, построено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 принципах декларирования производимой и выпускаемой в оборот продукции. То есть на подтверждении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ее соответствия установленным требованиям безопасности. Но, как видно из приведенного спектра нарушений, именно данные требования часто не соблюдаются хозяйствующими субъектами.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Кроме административных мер, применяемых к нарушителям, надзорный орган вынужден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предпринимать меры по пресечению выпуска в оборот недоброкачественной продукции. Такими мерами являются отмена или приостановка декларации соответствия на серийный выпуск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продукции данного вида, впредь до устранения причин, способствующих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нарушениям.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течение 2017 года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они применялись в 46-ти случаях.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основном это декларации производителей бакалейной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продукции (круп различных видов), закупаемых регионом для учреждений образования, здравоохранения и социальной сферы.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Они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предназначены для организации питания слабо защищенных,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социальном плане,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слоев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населения.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современной и более ранней практике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работы Управления не редко отмечались случаи, когда хозяйствующие субъекты продолжали выпускать в оборот продукцию,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 смотря на то, что в отношении нее были применены ограничительные или запретительные меры. Ранее не существовало реального механизма пресечения подобных неправомерных действий.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Однако, теперь для злостных нарушителей закона в сфере безопасного обращения пищевой продукции, предусмотрены дополнительные меры воздействия.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7F91" w:rsidRPr="00B37F91" w:rsidRDefault="00B37F91" w:rsidP="00B37F91">
      <w:pPr>
        <w:pStyle w:val="a3"/>
        <w:spacing w:after="0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июле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текущего года вступила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силу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статья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14.46-2 </w:t>
      </w:r>
      <w:proofErr w:type="spell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КоАП</w:t>
      </w:r>
      <w:proofErr w:type="spellEnd"/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РФ,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которая называется «Непринятие изготовителем (исполнителем, продавцом</w:t>
      </w:r>
      <w:proofErr w:type="gramStart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…) </w:t>
      </w:r>
      <w:proofErr w:type="gramEnd"/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мер по предотвращению причинения вреда при обращении продукции, несоответствующей требованиям технических регламентов».</w:t>
      </w:r>
    </w:p>
    <w:p w:rsidR="00B351B7" w:rsidRPr="00B351B7" w:rsidRDefault="00B37F91" w:rsidP="00B351B7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Ответственность, предусмотренная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этой статьей весьма существенна. Для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индивидуальных предпринимателей административный штраф колеблется от 30 до 40 тыс. рублей, а для юридических лиц от 100 до 500 тыс. рублей.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 установления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повторного нарушения,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размеры штрафов увеличиваются вдвое. Кроме того, статьей предусмотрена конфискация предметов административного нарушения и приостановка деятельности самого производства. Я привел содержание данной статьи с единственной целью для того, чтобы участники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сегодняшних слушаний правильно понимали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подлинную суть концепции реформирования контрольной деятельности. С одной стороны, государство всячески послабляет административное давление на бизнес путем резкого сокращения количества проверок, истребования дополнительных документов и информаций.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Но,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 другой стороны,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если предприятие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находится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группе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высокого риска, и создает реальную опасность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для защищаемых законом ценностей, проверки в отношении него будут проводиться.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 подтверждения грубых нарушений,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неминуемо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наступит ответственность.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Надо хорошо понимать, что такие случаи не будут носить массовый характер, они будут единичными, но предпринятые меры будут весьма жесткими.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Такая постановка концепции реформирования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способствует становлению бизнеса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более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прозрачным как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для потребителя, так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контрольного органа,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а также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повышает планку уровня понимания бизнесом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>своей социальной и гражданской</w:t>
      </w:r>
      <w:r w:rsidR="00B35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F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ответственности. </w:t>
      </w:r>
    </w:p>
    <w:sectPr w:rsidR="00B351B7" w:rsidRPr="00B351B7" w:rsidSect="00B6605F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78C"/>
    <w:multiLevelType w:val="hybridMultilevel"/>
    <w:tmpl w:val="C636B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760FDB"/>
    <w:multiLevelType w:val="hybridMultilevel"/>
    <w:tmpl w:val="D48CA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91"/>
    <w:rsid w:val="0001367E"/>
    <w:rsid w:val="00360A8A"/>
    <w:rsid w:val="00420DFB"/>
    <w:rsid w:val="004C18A9"/>
    <w:rsid w:val="004D3953"/>
    <w:rsid w:val="00666DC4"/>
    <w:rsid w:val="0077285C"/>
    <w:rsid w:val="00785C47"/>
    <w:rsid w:val="00887345"/>
    <w:rsid w:val="008F0C05"/>
    <w:rsid w:val="00B351B7"/>
    <w:rsid w:val="00B37F91"/>
    <w:rsid w:val="00B6605F"/>
    <w:rsid w:val="00BB00D7"/>
    <w:rsid w:val="00C51F42"/>
    <w:rsid w:val="00E1486D"/>
    <w:rsid w:val="00EC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1"/>
    <w:pPr>
      <w:spacing w:after="200" w:line="276" w:lineRule="auto"/>
      <w:ind w:firstLine="0"/>
      <w:jc w:val="left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91"/>
    <w:pPr>
      <w:ind w:left="720"/>
      <w:contextualSpacing/>
    </w:pPr>
  </w:style>
  <w:style w:type="character" w:styleId="a4">
    <w:name w:val="Strong"/>
    <w:basedOn w:val="a0"/>
    <w:uiPriority w:val="22"/>
    <w:qFormat/>
    <w:rsid w:val="00B37F91"/>
    <w:rPr>
      <w:b/>
      <w:bCs/>
    </w:rPr>
  </w:style>
  <w:style w:type="character" w:customStyle="1" w:styleId="a5">
    <w:name w:val="Основной текст_"/>
    <w:basedOn w:val="a0"/>
    <w:link w:val="1"/>
    <w:rsid w:val="00B37F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37F91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2018-02-12T08:38:00Z</dcterms:created>
  <dcterms:modified xsi:type="dcterms:W3CDTF">2018-02-12T08:56:00Z</dcterms:modified>
</cp:coreProperties>
</file>